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11176000</wp:posOffset>
            </wp:positionV>
            <wp:extent cx="355600" cy="381000"/>
            <wp:effectExtent l="0" t="0" r="635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人教版六年级下册数学第二单元  百分数（二）  提升检测训练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一、认真思考，正确填空。</w:t>
      </w:r>
      <w:bookmarkStart w:id="0" w:name="_Hlk122279499"/>
      <w:bookmarkStart w:id="1" w:name="_Hlk122252278"/>
      <w:bookmarkStart w:id="2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0"/>
      <w:bookmarkEnd w:id="1"/>
      <w:r>
        <w:rPr>
          <w:rFonts w:asciiTheme="majorEastAsia" w:hAnsiTheme="majorEastAsia" w:eastAsiaTheme="majorEastAsia"/>
          <w:sz w:val="28"/>
          <w:szCs w:val="28"/>
        </w:rPr>
        <w:t xml:space="preserve">   </w:t>
      </w:r>
    </w:p>
    <w:bookmarkEnd w:id="2"/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1. 李红去年买了5000元的国家建设债券，定期3年．如果年利率是3.25%，到期时，他可获得本金和利息共____．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小王叔叔经营的小饭店上半年营业额是40万元．若按营业额的5%缴纳营避税，应缴．纳营业税款____万元．小王叔叔把剩下的这些钱存人银行（定期两年），已知两年期的年利率为4.40%，存款的利息要按5%的税率纳税．两年后，小王叔叔实得本金和税后利息共____万元．（得数保留两位小数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 小明把1500元压岁钱放到银行去存2年，年利率是3.25%，到期时小明能得到____元的利息．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 张大伯2000年4月向银行购买了35000元5年期的国债，年利率是3%，到期张大伯一共可拿回____元．（国债不交纳利息税）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 小明把500元存入银行3年，年利率为8%，那么三年后他可以得到本息____（按5%纳税）．</w:t>
      </w:r>
    </w:p>
    <w:p>
      <w:pPr>
        <w:spacing w:line="360" w:lineRule="auto"/>
        <w:jc w:val="both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color w:val="000000"/>
          <w:sz w:val="28"/>
          <w:szCs w:val="28"/>
        </w:rPr>
        <w:t>6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．乐乐将10000元钱存人银行，定期一年，年利率是1.50％，到期后，不但能取回存人银行中的10000元钱，还能得到银行多支付的（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）元。乐乐存人银行的“10000元”叫做（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），取款时银行多支付的钱叫做（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)。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color w:val="000000"/>
          <w:sz w:val="28"/>
          <w:szCs w:val="28"/>
        </w:rPr>
        <w:t>7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．张老师把20000元钱存人银行，定期一年，年利率为2.25％，到期时可得到利息(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）元。</w:t>
      </w: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1、应纳税额与各种收入的比率叫做税率。                     （    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asciiTheme="majorEastAsia" w:hAnsiTheme="majorEastAsia" w:eastAsiaTheme="majorEastAsia"/>
          <w:color w:val="000000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、</w:t>
      </w:r>
      <w:r>
        <w:rPr>
          <w:rFonts w:asciiTheme="majorEastAsia" w:hAnsiTheme="majorEastAsia" w:eastAsiaTheme="majorEastAsia"/>
          <w:color w:val="000000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6千克：7千克的比值是</w:t>
      </w:r>
      <w:r>
        <w:rPr>
          <w:rFonts w:asciiTheme="majorEastAsia" w:hAnsiTheme="majorEastAsia" w:eastAsiaTheme="majorEastAsia"/>
          <w:color w:val="000000"/>
          <w:position w:val="-24"/>
          <w:sz w:val="28"/>
          <w:szCs w:val="28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千克。                         （    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3、妈妈有10000元存入银行两年，无论哪种定期存款方式到期时取出的利息都是一样多的。                                                    （    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4、甲比乙多</w:t>
      </w:r>
      <w:r>
        <w:rPr>
          <w:rFonts w:asciiTheme="majorEastAsia" w:hAnsiTheme="majorEastAsia" w:eastAsiaTheme="majorEastAsia"/>
          <w:color w:val="000000"/>
          <w:position w:val="-24"/>
          <w:sz w:val="28"/>
          <w:szCs w:val="28"/>
        </w:rPr>
        <w:object>
          <v:shape id="_x0000_i1026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，乙比甲少10%。                             （    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5、一台洗衣机按八五折出售，就是说便宜了85%。              （    ）</w:t>
      </w: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(每小题2分，共20分)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1. 笑笑把500元压岁钱存入银行，整存整取一年．她准备到期后将本息都捐给希望工程．如果按年利率2.5%计算，到期后她可以捐（　　）元．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A.500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B.12.5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C.512.5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小强把500元利是钱存入银行，整存整取二年，年利率是2.70%，求到期他得到的税后利息（税率是利息的5%），列式应是 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A.500×2.70%×2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B.500×2.70%×2×5%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C.500×2.70%×2×（1-5%）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 把500元钱存入银行，存定期2年，年利率是2.25%，计算利息的算式是（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A.500×2.25%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B.500×2.25%×2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C.500+500×2.25×2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 王叔叔把10000元钱存入银行两年，年利率是2.25%，到期时缴纳5%利息税，税后他实得利息多少元、列式应是（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A.10000×2.25%×2×（1-5%）+1000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B.[10000×2.25%×（1-5%）]×2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C.10000×2.25%×2×（1-5%）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 春节后，洋洋把2500元压岁钱存入银行，整存整取2年，年利率是3.9%，到期时，洋洋一共能得到（　　）元．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A.97.5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B.2597.5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C.2695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D.195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6</w:t>
      </w:r>
      <w:r>
        <w:rPr>
          <w:rFonts w:asciiTheme="majorEastAsia" w:hAnsiTheme="majorEastAsia" w:eastAsiaTheme="majorEastAsia"/>
          <w:sz w:val="28"/>
          <w:szCs w:val="28"/>
        </w:rPr>
        <w:t>.小芳把1000元钱按年利率为2.4%存入银行，两年后计算她应得本金和税后利息共多少？正确的列式应是（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A.1000×2.4%×2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B.1000×2.4%+1000×2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C.1000×2.4%×（1-20%）×2+1000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7. 张华把2000元钱存入银行，存整取5年，年利率是2.80%，到期时张华可得税后利息是（　　）元．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A.224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B.250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C.280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8</w:t>
      </w:r>
      <w:r>
        <w:rPr>
          <w:rFonts w:asciiTheme="majorEastAsia" w:hAnsiTheme="majorEastAsia" w:eastAsiaTheme="majorEastAsia"/>
          <w:sz w:val="28"/>
          <w:szCs w:val="28"/>
        </w:rPr>
        <w:t>.小强把500元钱存入银行，整存整取两年，年利率按照4.15%计算，到期时他得到的利息列式应是（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A.500×4.15%×2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B.500×4.15%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C.500×4.15%×2+500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9. 王强把1000元按年利率2.25%存入银行．两年后计算他缴纳20%利息税后的实得利息，列式应是（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A.1000×2.25%×2×（1-20%）+1000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B.[1000×2.25%×（1-20%）+1000]×2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C.1000×2.25%×2×（1-20%）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D.1000×2.25%×2×20%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10. 把1000元存入银行两年，按现行的年利率2.79%计算，求两年后应得到的本金和利息共是多少元，下面列式正确的是（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A.1000×2.79%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B.（1000×2.79%+1000）×2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C.1000×2.79%×2+1000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D.1000×12×2.79%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四、计算。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63×60%＋</w: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eq \f(3,5)</w:instrTex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×37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  <w:r>
        <w:rPr>
          <w:rFonts w:cs="Times New Roman" w:asciiTheme="majorEastAsia" w:hAnsiTheme="majorEastAsia" w:eastAsiaTheme="majorEastAsia"/>
          <w:sz w:val="28"/>
          <w:szCs w:val="28"/>
        </w:rPr>
        <w:t>50%×2.5×</w: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eq \f(1,8)</w:instrTex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×64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ind w:firstLine="425" w:firstLineChars="152"/>
        <w:rPr>
          <w:rFonts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 xml:space="preserve">500×75%×(1÷25%)     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80×(1－10%)×(1＋10%)  </w:t>
      </w: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五、灵活运用，解决问题。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1.2005年我国公布了新的个人所得税征收标准，个人收入1600元以下不征税，月收入超过1600元，超过的部分分步缴税，超过500元的按5%征收个人所得税，超过501-2000元的部分按10%征收个人所得税，小明的妈妈月收入是3500元，她每月要缴纳多少元个人所得税？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去年，小红把200元零花钱存入银行，定期一年，年利率3.87%．今年5月15日正好到期，小红把从银行取出的钱全部捐赠给四川灾区．小红捐赠给四川灾区多少元？（利息税5%）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3.小华爸爸在银行里存入6000元，存定期两年，年利率是3.75%，到期时可以得到本利息多少元？（免收利息税）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 王师傅从邮局给家中汇款5000元，按照规定，汇款100元的汇费是1元．王师傅要付多少元的汇费？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5.小丽把2000元存人银行，定期2年，年利息是3.25%，到期需支付20%的利息税，问：到期后她可以拿到税后利息多少元？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 爸爸为小芳存了1万元的教育储蓄（不需缴纳利息税），定期二年，年利率是5.42%，到期后一共可以从银行取得多少元？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0D42F4"/>
    <w:rsid w:val="00105440"/>
    <w:rsid w:val="00323B43"/>
    <w:rsid w:val="003D37D8"/>
    <w:rsid w:val="003F0DB8"/>
    <w:rsid w:val="004151FC"/>
    <w:rsid w:val="00426133"/>
    <w:rsid w:val="004358AB"/>
    <w:rsid w:val="004C4ED7"/>
    <w:rsid w:val="0051585E"/>
    <w:rsid w:val="00610C8A"/>
    <w:rsid w:val="0086560F"/>
    <w:rsid w:val="008B7726"/>
    <w:rsid w:val="008C4366"/>
    <w:rsid w:val="00A668BB"/>
    <w:rsid w:val="00AF73F5"/>
    <w:rsid w:val="00C02FC6"/>
    <w:rsid w:val="00D31D50"/>
    <w:rsid w:val="00E11852"/>
    <w:rsid w:val="00ED2BA3"/>
    <w:rsid w:val="00F53745"/>
    <w:rsid w:val="00FE553D"/>
    <w:rsid w:val="06BC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="Tahoma" w:hAnsi="Tahoma"/>
      <w:sz w:val="18"/>
      <w:szCs w:val="18"/>
    </w:rPr>
  </w:style>
  <w:style w:type="character" w:customStyle="1" w:styleId="9">
    <w:name w:val="纯文本 字符"/>
    <w:basedOn w:val="6"/>
    <w:link w:val="2"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1754</Words>
  <Characters>2333</Characters>
  <Lines>19</Lines>
  <Paragraphs>5</Paragraphs>
  <TotalTime>9</TotalTime>
  <ScaleCrop>false</ScaleCrop>
  <LinksUpToDate>false</LinksUpToDate>
  <CharactersWithSpaces>2558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。</cp:lastModifiedBy>
  <dcterms:modified xsi:type="dcterms:W3CDTF">2023-02-08T07:32:08Z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A47CDF063DFC4A3B88AB47852F18C74C</vt:lpwstr>
  </property>
</Properties>
</file>